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русскому языку</w:t>
      </w:r>
    </w:p>
    <w:p>
      <w:pPr>
        <w:pStyle w:val="aa"/>
        <w:ind w:left="0" w:right="0"/>
      </w:pPr>
      <w:r/>
      <w:r>
        <w:t xml:space="preserve">  1-3  </w:t>
      </w:r>
    </w:p>
    <w:p>
      <w:pPr>
        <w:ind w:left="0" w:right="0"/>
      </w:pPr>
      <w:r/>
    </w:p>
    <w:p>
      <w:pPr>
        <w:ind w:left="0" w:right="0"/>
      </w:pPr>
      <w:r/>
      <w:r>
        <w:t xml:space="preserve">1. следовательно&lt;или&gt;аследовательно&lt;или&gt;иначеговоря&lt;или&gt;такимобразом&lt;или&gt;инымисловами&lt;или&gt;другимисловами&lt;или&gt;выходит&lt;или&gt;получается </w:t>
      </w:r>
    </w:p>
    <w:p>
      <w:pPr>
        <w:ind w:left="0" w:right="0"/>
      </w:pPr>
      <w:r/>
      <w:r>
        <w:t xml:space="preserve">2. 23 </w:t>
      </w:r>
    </w:p>
    <w:p>
      <w:pPr>
        <w:ind w:left="0" w:right="0"/>
      </w:pPr>
      <w:r/>
      <w:r>
        <w:t>3. 34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45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отличие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себялюбивый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пятьюдесятью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73942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14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23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12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345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135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245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1246 &lt;или&gt; любая другая последовательность этих цифр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145 &lt;или&gt; любая другая последовательность этих цифр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1456789 &lt;или&gt; любая другая последовательность этих цифр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145678 &lt;или&gt; любая другая последовательность этих цифр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1236 &lt;или&gt; любая другая последовательность этих цифр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1236 &lt;или&gt; любая другая последовательность этих чисел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459 &lt;или&gt; любая другая последовательность этих цифр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13268</w:t>
      </w:r>
    </w:p>
    <w:p>
      <w:pPr>
        <w:pStyle w:val="aa"/>
        <w:ind w:left="0" w:right="0"/>
      </w:pPr>
      <w:r/>
      <w:r>
        <w:t xml:space="preserve"> 23-27 </w:t>
      </w:r>
    </w:p>
    <w:p>
      <w:pPr>
        <w:ind w:left="0" w:right="0"/>
      </w:pPr>
      <w:r/>
    </w:p>
    <w:p>
      <w:pPr>
        <w:ind w:left="0" w:right="0"/>
      </w:pPr>
      <w:r/>
      <w:r>
        <w:t xml:space="preserve">23. 123 </w:t>
      </w:r>
    </w:p>
    <w:p>
      <w:pPr>
        <w:ind w:left="0" w:right="0"/>
      </w:pPr>
      <w:r/>
      <w:r>
        <w:t xml:space="preserve">24. 134 </w:t>
      </w:r>
    </w:p>
    <w:p>
      <w:pPr>
        <w:ind w:left="0" w:right="0"/>
      </w:pPr>
      <w:r/>
      <w:r>
        <w:t xml:space="preserve">25. исходили &lt;или&gt; исходить &lt;или&gt; уламывать </w:t>
      </w:r>
    </w:p>
    <w:p>
      <w:pPr>
        <w:ind w:left="0" w:right="0"/>
      </w:pPr>
      <w:r/>
      <w:r>
        <w:t>26. 12</w:t>
      </w:r>
    </w:p>
    <w:p>
      <w:pPr>
        <w:ind w:left="0" w:right="0"/>
        <w:jc w:val="center"/>
      </w:pPr>
      <w:r/>
      <w:r>
        <w:rPr>
          <w:b/>
        </w:rPr>
        <w:t>Авторская позиция по проблеме</w:t>
      </w:r>
    </w:p>
    <w:p>
      <w:pPr>
        <w:ind w:left="0" w:right="0"/>
      </w:pPr>
      <w:r/>
      <w:r>
        <w:t>Война обнажает подлинные человеческие качества, выявляя истинную силу дружбы и братства, которые проявляются не в общих интересах или интеллектуальных спорах, а в готовности жертвовать собой ради другого.</w:t>
      </w:r>
    </w:p>
    <w:p>
      <w:pPr>
        <w:ind w:left="0" w:right="0"/>
      </w:pPr>
      <w:r/>
    </w:p>
    <w:p>
      <w:pPr>
        <w:ind w:left="0" w:right="0"/>
      </w:pPr>
      <w:r/>
      <w:r>
        <w:t>* Для формулировки проблемы экзаменуемым может быть использована лексика, отличающаяся от той, которая представлена в таблице. Проблема может быть также процитирована по исходному тексту или указана с помощью ссылок на номера предложений в тексте.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